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67" w:rsidRDefault="005F0967" w:rsidP="00FF65B9">
      <w:pPr>
        <w:jc w:val="both"/>
        <w:rPr>
          <w:rFonts w:ascii="Arial" w:hAnsi="Arial" w:cs="Arial"/>
          <w:sz w:val="20"/>
        </w:rPr>
      </w:pPr>
    </w:p>
    <w:p w:rsidR="005F0967" w:rsidRDefault="006E149A" w:rsidP="00FF65B9">
      <w:pPr>
        <w:pStyle w:val="berschrift1"/>
        <w:rPr>
          <w:rFonts w:ascii="Arial" w:hAnsi="Arial" w:cs="Arial"/>
        </w:rPr>
      </w:pPr>
      <w:r>
        <w:rPr>
          <w:rFonts w:ascii="Arial" w:hAnsi="Arial" w:cs="Arial"/>
        </w:rPr>
        <w:t xml:space="preserve">Richtlinien der Ev. Regionalverwaltung </w:t>
      </w:r>
      <w:r w:rsidR="00FF65B9">
        <w:rPr>
          <w:rFonts w:ascii="Arial" w:hAnsi="Arial" w:cs="Arial"/>
        </w:rPr>
        <w:t>Oberhessen</w:t>
      </w:r>
      <w:r>
        <w:rPr>
          <w:rFonts w:ascii="Arial" w:hAnsi="Arial" w:cs="Arial"/>
        </w:rPr>
        <w:t xml:space="preserve"> für das Führen eines Handvorschusses in den</w:t>
      </w:r>
      <w:r w:rsidR="00BF74BD">
        <w:rPr>
          <w:rFonts w:ascii="Arial" w:hAnsi="Arial" w:cs="Arial"/>
        </w:rPr>
        <w:t xml:space="preserve"> angeschlossenen Einrichtungen</w:t>
      </w:r>
    </w:p>
    <w:p w:rsidR="005F0967" w:rsidRDefault="00E6380A" w:rsidP="00FF65B9">
      <w:pPr>
        <w:jc w:val="both"/>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45719</wp:posOffset>
                </wp:positionV>
                <wp:extent cx="605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4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"/>
            </w:pict>
          </mc:Fallback>
        </mc:AlternateContent>
      </w:r>
    </w:p>
    <w:p w:rsidR="00DF7A84" w:rsidRDefault="00DF7A84" w:rsidP="00FF65B9">
      <w:pPr>
        <w:jc w:val="both"/>
        <w:rPr>
          <w:rFonts w:ascii="Arial" w:hAnsi="Arial" w:cs="Arial"/>
          <w:sz w:val="20"/>
        </w:rPr>
      </w:pPr>
    </w:p>
    <w:p w:rsidR="00BF74BD" w:rsidRDefault="00BF74BD" w:rsidP="00BF74BD">
      <w:pPr>
        <w:rPr>
          <w:rFonts w:ascii="Arial" w:hAnsi="Arial" w:cs="Arial"/>
          <w:sz w:val="20"/>
        </w:rPr>
      </w:pPr>
    </w:p>
    <w:p w:rsidR="00BF74BD" w:rsidRPr="00BF74BD" w:rsidRDefault="006C400B" w:rsidP="003772BB">
      <w:pPr>
        <w:tabs>
          <w:tab w:val="left" w:pos="5103"/>
        </w:tabs>
        <w:rPr>
          <w:rFonts w:ascii="Arial" w:hAnsi="Arial" w:cs="Arial"/>
          <w:b/>
        </w:rPr>
      </w:pPr>
      <w:r>
        <w:rPr>
          <w:rFonts w:ascii="Arial" w:hAnsi="Arial" w:cs="Arial"/>
          <w:b/>
        </w:rPr>
        <w:t>Ev.</w:t>
      </w:r>
      <w:r w:rsidR="001A57A8">
        <w:rPr>
          <w:rFonts w:ascii="Arial" w:hAnsi="Arial" w:cs="Arial"/>
          <w:b/>
        </w:rPr>
        <w:t xml:space="preserve"> </w:t>
      </w:r>
      <w:r w:rsidR="001A57A8">
        <w:rPr>
          <w:rFonts w:ascii="Arial" w:hAnsi="Arial" w:cs="Arial"/>
          <w:b/>
        </w:rPr>
        <w:fldChar w:fldCharType="begin">
          <w:ffData>
            <w:name w:val="Text1"/>
            <w:enabled/>
            <w:calcOnExit w:val="0"/>
            <w:textInput/>
          </w:ffData>
        </w:fldChar>
      </w:r>
      <w:bookmarkStart w:id="0" w:name="Text1"/>
      <w:r w:rsidR="001A57A8">
        <w:rPr>
          <w:rFonts w:ascii="Arial" w:hAnsi="Arial" w:cs="Arial"/>
          <w:b/>
        </w:rPr>
        <w:instrText xml:space="preserve"> FORMTEXT </w:instrText>
      </w:r>
      <w:r w:rsidR="001A57A8">
        <w:rPr>
          <w:rFonts w:ascii="Arial" w:hAnsi="Arial" w:cs="Arial"/>
          <w:b/>
        </w:rPr>
      </w:r>
      <w:r w:rsidR="001A57A8">
        <w:rPr>
          <w:rFonts w:ascii="Arial" w:hAnsi="Arial" w:cs="Arial"/>
          <w:b/>
        </w:rPr>
        <w:fldChar w:fldCharType="separate"/>
      </w:r>
      <w:r w:rsidR="001A57A8">
        <w:rPr>
          <w:rFonts w:ascii="Arial" w:hAnsi="Arial" w:cs="Arial"/>
          <w:b/>
        </w:rPr>
        <w:t> </w:t>
      </w:r>
      <w:r w:rsidR="001A57A8">
        <w:rPr>
          <w:rFonts w:ascii="Arial" w:hAnsi="Arial" w:cs="Arial"/>
          <w:b/>
        </w:rPr>
        <w:t> </w:t>
      </w:r>
      <w:r w:rsidR="001A57A8">
        <w:rPr>
          <w:rFonts w:ascii="Arial" w:hAnsi="Arial" w:cs="Arial"/>
          <w:b/>
        </w:rPr>
        <w:t> </w:t>
      </w:r>
      <w:r w:rsidR="001A57A8">
        <w:rPr>
          <w:rFonts w:ascii="Arial" w:hAnsi="Arial" w:cs="Arial"/>
          <w:b/>
        </w:rPr>
        <w:t> </w:t>
      </w:r>
      <w:r w:rsidR="001A57A8">
        <w:rPr>
          <w:rFonts w:ascii="Arial" w:hAnsi="Arial" w:cs="Arial"/>
          <w:b/>
        </w:rPr>
        <w:t> </w:t>
      </w:r>
      <w:r w:rsidR="001A57A8">
        <w:rPr>
          <w:rFonts w:ascii="Arial" w:hAnsi="Arial" w:cs="Arial"/>
          <w:b/>
        </w:rPr>
        <w:fldChar w:fldCharType="end"/>
      </w:r>
      <w:bookmarkEnd w:id="0"/>
      <w:r w:rsidR="003772BB">
        <w:rPr>
          <w:rFonts w:ascii="Arial" w:hAnsi="Arial" w:cs="Arial"/>
          <w:b/>
        </w:rPr>
        <w:tab/>
        <w:t xml:space="preserve">Mandanten-Nr.: </w:t>
      </w:r>
      <w:r>
        <w:rPr>
          <w:rFonts w:ascii="Arial" w:hAnsi="Arial" w:cs="Arial"/>
          <w:b/>
        </w:rPr>
        <w:t>90009</w:t>
      </w:r>
      <w:r w:rsidR="001A57A8">
        <w:rPr>
          <w:rFonts w:ascii="Arial" w:hAnsi="Arial" w:cs="Arial"/>
          <w:b/>
        </w:rPr>
        <w:fldChar w:fldCharType="begin">
          <w:ffData>
            <w:name w:val="Text2"/>
            <w:enabled/>
            <w:calcOnExit w:val="0"/>
            <w:textInput>
              <w:maxLength w:val="4"/>
            </w:textInput>
          </w:ffData>
        </w:fldChar>
      </w:r>
      <w:bookmarkStart w:id="1" w:name="Text2"/>
      <w:r w:rsidR="001A57A8">
        <w:rPr>
          <w:rFonts w:ascii="Arial" w:hAnsi="Arial" w:cs="Arial"/>
          <w:b/>
        </w:rPr>
        <w:instrText xml:space="preserve"> FORMTEXT </w:instrText>
      </w:r>
      <w:r w:rsidR="001A57A8">
        <w:rPr>
          <w:rFonts w:ascii="Arial" w:hAnsi="Arial" w:cs="Arial"/>
          <w:b/>
        </w:rPr>
      </w:r>
      <w:r w:rsidR="001A57A8">
        <w:rPr>
          <w:rFonts w:ascii="Arial" w:hAnsi="Arial" w:cs="Arial"/>
          <w:b/>
        </w:rPr>
        <w:fldChar w:fldCharType="separate"/>
      </w:r>
      <w:r w:rsidR="001A57A8">
        <w:rPr>
          <w:rFonts w:ascii="Arial" w:hAnsi="Arial" w:cs="Arial"/>
          <w:b/>
        </w:rPr>
        <w:t> </w:t>
      </w:r>
      <w:r w:rsidR="001A57A8">
        <w:rPr>
          <w:rFonts w:ascii="Arial" w:hAnsi="Arial" w:cs="Arial"/>
          <w:b/>
        </w:rPr>
        <w:t> </w:t>
      </w:r>
      <w:r w:rsidR="001A57A8">
        <w:rPr>
          <w:rFonts w:ascii="Arial" w:hAnsi="Arial" w:cs="Arial"/>
          <w:b/>
        </w:rPr>
        <w:t> </w:t>
      </w:r>
      <w:r w:rsidR="001A57A8">
        <w:rPr>
          <w:rFonts w:ascii="Arial" w:hAnsi="Arial" w:cs="Arial"/>
          <w:b/>
        </w:rPr>
        <w:t> </w:t>
      </w:r>
      <w:r w:rsidR="001A57A8">
        <w:rPr>
          <w:rFonts w:ascii="Arial" w:hAnsi="Arial" w:cs="Arial"/>
          <w:b/>
        </w:rPr>
        <w:fldChar w:fldCharType="end"/>
      </w:r>
      <w:bookmarkEnd w:id="1"/>
    </w:p>
    <w:p w:rsidR="00DF7A84" w:rsidRDefault="00DF7A84" w:rsidP="003772BB">
      <w:pPr>
        <w:tabs>
          <w:tab w:val="left" w:pos="5103"/>
        </w:tabs>
        <w:rPr>
          <w:rFonts w:ascii="Arial" w:hAnsi="Arial" w:cs="Arial"/>
          <w:sz w:val="20"/>
        </w:rPr>
      </w:pPr>
    </w:p>
    <w:p w:rsidR="009D26F7" w:rsidRPr="001A57A8" w:rsidRDefault="00DF7A84" w:rsidP="003772BB">
      <w:pPr>
        <w:tabs>
          <w:tab w:val="left" w:pos="5103"/>
        </w:tabs>
        <w:rPr>
          <w:rFonts w:ascii="Arial" w:hAnsi="Arial" w:cs="Arial"/>
          <w:sz w:val="22"/>
          <w:szCs w:val="22"/>
        </w:rPr>
      </w:pPr>
      <w:r w:rsidRPr="001A57A8">
        <w:rPr>
          <w:rFonts w:ascii="Arial" w:hAnsi="Arial" w:cs="Arial"/>
          <w:sz w:val="22"/>
          <w:szCs w:val="22"/>
        </w:rPr>
        <w:t xml:space="preserve">Handkasse von: </w:t>
      </w:r>
      <w:r w:rsidR="001A57A8" w:rsidRPr="001A57A8">
        <w:rPr>
          <w:rFonts w:ascii="Arial" w:hAnsi="Arial" w:cs="Arial"/>
          <w:b/>
          <w:sz w:val="22"/>
          <w:szCs w:val="22"/>
        </w:rPr>
        <w:fldChar w:fldCharType="begin">
          <w:ffData>
            <w:name w:val="Dropdown1"/>
            <w:enabled/>
            <w:calcOnExit w:val="0"/>
            <w:ddList>
              <w:listEntry w:val="Frau"/>
              <w:listEntry w:val="Herr"/>
            </w:ddList>
          </w:ffData>
        </w:fldChar>
      </w:r>
      <w:bookmarkStart w:id="2" w:name="Dropdown1"/>
      <w:r w:rsidR="001A57A8" w:rsidRPr="001A57A8">
        <w:rPr>
          <w:rFonts w:ascii="Arial" w:hAnsi="Arial" w:cs="Arial"/>
          <w:b/>
          <w:sz w:val="22"/>
          <w:szCs w:val="22"/>
        </w:rPr>
        <w:instrText xml:space="preserve"> FORMDROPDOWN </w:instrText>
      </w:r>
      <w:r w:rsidR="001A57A8" w:rsidRPr="001A57A8">
        <w:rPr>
          <w:rFonts w:ascii="Arial" w:hAnsi="Arial" w:cs="Arial"/>
          <w:b/>
          <w:sz w:val="22"/>
          <w:szCs w:val="22"/>
        </w:rPr>
      </w:r>
      <w:r w:rsidR="001A57A8" w:rsidRPr="001A57A8">
        <w:rPr>
          <w:rFonts w:ascii="Arial" w:hAnsi="Arial" w:cs="Arial"/>
          <w:b/>
          <w:sz w:val="22"/>
          <w:szCs w:val="22"/>
        </w:rPr>
        <w:fldChar w:fldCharType="end"/>
      </w:r>
      <w:bookmarkEnd w:id="2"/>
      <w:r w:rsidR="001A57A8" w:rsidRPr="001A57A8">
        <w:rPr>
          <w:rFonts w:ascii="Arial" w:hAnsi="Arial" w:cs="Arial"/>
          <w:b/>
          <w:sz w:val="22"/>
          <w:szCs w:val="22"/>
        </w:rPr>
        <w:t xml:space="preserve"> </w:t>
      </w:r>
      <w:r w:rsidR="001A57A8" w:rsidRPr="001A57A8">
        <w:rPr>
          <w:rFonts w:ascii="Arial" w:hAnsi="Arial" w:cs="Arial"/>
          <w:b/>
          <w:sz w:val="22"/>
          <w:szCs w:val="22"/>
        </w:rPr>
        <w:fldChar w:fldCharType="begin">
          <w:ffData>
            <w:name w:val="Text3"/>
            <w:enabled/>
            <w:calcOnExit w:val="0"/>
            <w:textInput/>
          </w:ffData>
        </w:fldChar>
      </w:r>
      <w:bookmarkStart w:id="3" w:name="Text3"/>
      <w:r w:rsidR="001A57A8" w:rsidRPr="001A57A8">
        <w:rPr>
          <w:rFonts w:ascii="Arial" w:hAnsi="Arial" w:cs="Arial"/>
          <w:b/>
          <w:sz w:val="22"/>
          <w:szCs w:val="22"/>
        </w:rPr>
        <w:instrText xml:space="preserve"> FORMTEXT </w:instrText>
      </w:r>
      <w:r w:rsidR="001A57A8" w:rsidRPr="001A57A8">
        <w:rPr>
          <w:rFonts w:ascii="Arial" w:hAnsi="Arial" w:cs="Arial"/>
          <w:b/>
          <w:sz w:val="22"/>
          <w:szCs w:val="22"/>
        </w:rPr>
      </w:r>
      <w:r w:rsidR="001A57A8" w:rsidRPr="001A57A8">
        <w:rPr>
          <w:rFonts w:ascii="Arial" w:hAnsi="Arial" w:cs="Arial"/>
          <w:b/>
          <w:sz w:val="22"/>
          <w:szCs w:val="22"/>
        </w:rPr>
        <w:fldChar w:fldCharType="separate"/>
      </w:r>
      <w:r w:rsidR="001A57A8">
        <w:rPr>
          <w:rFonts w:ascii="Arial" w:hAnsi="Arial" w:cs="Arial"/>
          <w:b/>
          <w:sz w:val="22"/>
          <w:szCs w:val="22"/>
        </w:rPr>
        <w:t> </w:t>
      </w:r>
      <w:r w:rsidR="001A57A8">
        <w:rPr>
          <w:rFonts w:ascii="Arial" w:hAnsi="Arial" w:cs="Arial"/>
          <w:b/>
          <w:sz w:val="22"/>
          <w:szCs w:val="22"/>
        </w:rPr>
        <w:t> </w:t>
      </w:r>
      <w:r w:rsidR="001A57A8">
        <w:rPr>
          <w:rFonts w:ascii="Arial" w:hAnsi="Arial" w:cs="Arial"/>
          <w:b/>
          <w:sz w:val="22"/>
          <w:szCs w:val="22"/>
        </w:rPr>
        <w:t> </w:t>
      </w:r>
      <w:r w:rsidR="001A57A8">
        <w:rPr>
          <w:rFonts w:ascii="Arial" w:hAnsi="Arial" w:cs="Arial"/>
          <w:b/>
          <w:sz w:val="22"/>
          <w:szCs w:val="22"/>
        </w:rPr>
        <w:t> </w:t>
      </w:r>
      <w:r w:rsidR="001A57A8">
        <w:rPr>
          <w:rFonts w:ascii="Arial" w:hAnsi="Arial" w:cs="Arial"/>
          <w:b/>
          <w:sz w:val="22"/>
          <w:szCs w:val="22"/>
        </w:rPr>
        <w:t> </w:t>
      </w:r>
      <w:r w:rsidR="001A57A8" w:rsidRPr="001A57A8">
        <w:rPr>
          <w:rFonts w:ascii="Arial" w:hAnsi="Arial" w:cs="Arial"/>
          <w:b/>
          <w:sz w:val="22"/>
          <w:szCs w:val="22"/>
        </w:rPr>
        <w:fldChar w:fldCharType="end"/>
      </w:r>
      <w:bookmarkEnd w:id="3"/>
      <w:r w:rsidR="00BF74BD" w:rsidRPr="001A57A8">
        <w:rPr>
          <w:rFonts w:ascii="Arial" w:hAnsi="Arial" w:cs="Arial"/>
          <w:sz w:val="22"/>
          <w:szCs w:val="22"/>
        </w:rPr>
        <w:tab/>
        <w:t xml:space="preserve">Verwendung: </w:t>
      </w:r>
      <w:r w:rsidR="001A57A8" w:rsidRPr="001A57A8">
        <w:rPr>
          <w:rFonts w:ascii="Arial" w:hAnsi="Arial" w:cs="Arial"/>
          <w:b/>
          <w:sz w:val="22"/>
          <w:szCs w:val="22"/>
        </w:rPr>
        <w:fldChar w:fldCharType="begin">
          <w:ffData>
            <w:name w:val="Text4"/>
            <w:enabled/>
            <w:calcOnExit w:val="0"/>
            <w:textInput/>
          </w:ffData>
        </w:fldChar>
      </w:r>
      <w:bookmarkStart w:id="4" w:name="Text4"/>
      <w:r w:rsidR="001A57A8" w:rsidRPr="001A57A8">
        <w:rPr>
          <w:rFonts w:ascii="Arial" w:hAnsi="Arial" w:cs="Arial"/>
          <w:b/>
          <w:sz w:val="22"/>
          <w:szCs w:val="22"/>
        </w:rPr>
        <w:instrText xml:space="preserve"> FORMTEXT </w:instrText>
      </w:r>
      <w:r w:rsidR="001A57A8" w:rsidRPr="001A57A8">
        <w:rPr>
          <w:rFonts w:ascii="Arial" w:hAnsi="Arial" w:cs="Arial"/>
          <w:b/>
          <w:sz w:val="22"/>
          <w:szCs w:val="22"/>
        </w:rPr>
      </w:r>
      <w:r w:rsidR="001A57A8" w:rsidRPr="001A57A8">
        <w:rPr>
          <w:rFonts w:ascii="Arial" w:hAnsi="Arial" w:cs="Arial"/>
          <w:b/>
          <w:sz w:val="22"/>
          <w:szCs w:val="22"/>
        </w:rPr>
        <w:fldChar w:fldCharType="separate"/>
      </w:r>
      <w:r w:rsidR="001A57A8">
        <w:rPr>
          <w:rFonts w:ascii="Arial" w:hAnsi="Arial" w:cs="Arial"/>
          <w:b/>
          <w:sz w:val="22"/>
          <w:szCs w:val="22"/>
        </w:rPr>
        <w:t> </w:t>
      </w:r>
      <w:r w:rsidR="001A57A8">
        <w:rPr>
          <w:rFonts w:ascii="Arial" w:hAnsi="Arial" w:cs="Arial"/>
          <w:b/>
          <w:sz w:val="22"/>
          <w:szCs w:val="22"/>
        </w:rPr>
        <w:t> </w:t>
      </w:r>
      <w:r w:rsidR="001A57A8">
        <w:rPr>
          <w:rFonts w:ascii="Arial" w:hAnsi="Arial" w:cs="Arial"/>
          <w:b/>
          <w:sz w:val="22"/>
          <w:szCs w:val="22"/>
        </w:rPr>
        <w:t> </w:t>
      </w:r>
      <w:r w:rsidR="001A57A8">
        <w:rPr>
          <w:rFonts w:ascii="Arial" w:hAnsi="Arial" w:cs="Arial"/>
          <w:b/>
          <w:sz w:val="22"/>
          <w:szCs w:val="22"/>
        </w:rPr>
        <w:t> </w:t>
      </w:r>
      <w:r w:rsidR="001A57A8">
        <w:rPr>
          <w:rFonts w:ascii="Arial" w:hAnsi="Arial" w:cs="Arial"/>
          <w:b/>
          <w:sz w:val="22"/>
          <w:szCs w:val="22"/>
        </w:rPr>
        <w:t> </w:t>
      </w:r>
      <w:r w:rsidR="001A57A8" w:rsidRPr="001A57A8">
        <w:rPr>
          <w:rFonts w:ascii="Arial" w:hAnsi="Arial" w:cs="Arial"/>
          <w:b/>
          <w:sz w:val="22"/>
          <w:szCs w:val="22"/>
        </w:rPr>
        <w:fldChar w:fldCharType="end"/>
      </w:r>
      <w:bookmarkEnd w:id="4"/>
    </w:p>
    <w:p w:rsidR="009D26F7" w:rsidRPr="001A57A8" w:rsidRDefault="009D26F7" w:rsidP="009D26F7">
      <w:pPr>
        <w:rPr>
          <w:rFonts w:ascii="Arial" w:hAnsi="Arial" w:cs="Arial"/>
          <w:sz w:val="22"/>
          <w:szCs w:val="22"/>
        </w:rPr>
      </w:pPr>
    </w:p>
    <w:p w:rsidR="00DF7A84" w:rsidRPr="001A57A8" w:rsidRDefault="001A57A8" w:rsidP="009D26F7">
      <w:pPr>
        <w:rPr>
          <w:rFonts w:ascii="Arial" w:hAnsi="Arial" w:cs="Arial"/>
          <w:sz w:val="22"/>
          <w:szCs w:val="22"/>
        </w:rPr>
      </w:pPr>
      <w:r>
        <w:rPr>
          <w:rFonts w:ascii="Arial" w:hAnsi="Arial" w:cs="Arial"/>
          <w:sz w:val="22"/>
          <w:szCs w:val="22"/>
        </w:rPr>
        <w:t>i</w:t>
      </w:r>
      <w:r w:rsidR="00DF7A84" w:rsidRPr="001A57A8">
        <w:rPr>
          <w:rFonts w:ascii="Arial" w:hAnsi="Arial" w:cs="Arial"/>
          <w:sz w:val="22"/>
          <w:szCs w:val="22"/>
        </w:rPr>
        <w:t xml:space="preserve">n Höhe von: </w:t>
      </w:r>
      <w:r w:rsidR="00540B07" w:rsidRPr="001A57A8">
        <w:rPr>
          <w:rFonts w:ascii="Arial" w:hAnsi="Arial" w:cs="Arial"/>
          <w:sz w:val="22"/>
          <w:szCs w:val="22"/>
        </w:rPr>
        <w:t xml:space="preserve">    </w:t>
      </w:r>
      <w:r w:rsidRPr="001A57A8">
        <w:rPr>
          <w:rFonts w:ascii="Arial" w:hAnsi="Arial" w:cs="Arial"/>
          <w:b/>
          <w:sz w:val="22"/>
          <w:szCs w:val="22"/>
        </w:rPr>
        <w:fldChar w:fldCharType="begin">
          <w:ffData>
            <w:name w:val="Text5"/>
            <w:enabled/>
            <w:calcOnExit w:val="0"/>
            <w:textInput>
              <w:type w:val="number"/>
              <w:format w:val="#.##0,00"/>
            </w:textInput>
          </w:ffData>
        </w:fldChar>
      </w:r>
      <w:bookmarkStart w:id="5" w:name="Text5"/>
      <w:r w:rsidRPr="001A57A8">
        <w:rPr>
          <w:rFonts w:ascii="Arial" w:hAnsi="Arial" w:cs="Arial"/>
          <w:b/>
          <w:sz w:val="22"/>
          <w:szCs w:val="22"/>
        </w:rPr>
        <w:instrText xml:space="preserve"> FORMTEXT </w:instrText>
      </w:r>
      <w:r w:rsidRPr="001A57A8">
        <w:rPr>
          <w:rFonts w:ascii="Arial" w:hAnsi="Arial" w:cs="Arial"/>
          <w:b/>
          <w:sz w:val="22"/>
          <w:szCs w:val="22"/>
        </w:rPr>
      </w:r>
      <w:r w:rsidRPr="001A57A8">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1A57A8">
        <w:rPr>
          <w:rFonts w:ascii="Arial" w:hAnsi="Arial" w:cs="Arial"/>
          <w:b/>
          <w:sz w:val="22"/>
          <w:szCs w:val="22"/>
        </w:rPr>
        <w:fldChar w:fldCharType="end"/>
      </w:r>
      <w:bookmarkEnd w:id="5"/>
      <w:r w:rsidRPr="001A57A8">
        <w:rPr>
          <w:rFonts w:ascii="Arial" w:hAnsi="Arial" w:cs="Arial"/>
          <w:b/>
          <w:sz w:val="22"/>
          <w:szCs w:val="22"/>
        </w:rPr>
        <w:t xml:space="preserve"> </w:t>
      </w:r>
      <w:r w:rsidR="00BF74BD" w:rsidRPr="001A57A8">
        <w:rPr>
          <w:rFonts w:ascii="Arial" w:hAnsi="Arial" w:cs="Arial"/>
          <w:b/>
          <w:sz w:val="22"/>
          <w:szCs w:val="22"/>
        </w:rPr>
        <w:t>Euro</w:t>
      </w:r>
    </w:p>
    <w:p w:rsidR="00DF7A84" w:rsidRDefault="00DF7A84" w:rsidP="009D26F7">
      <w:pPr>
        <w:rPr>
          <w:rFonts w:ascii="Arial" w:hAnsi="Arial" w:cs="Arial"/>
          <w:sz w:val="20"/>
        </w:rPr>
      </w:pPr>
    </w:p>
    <w:p w:rsidR="00DF7A84" w:rsidRDefault="00DF7A84" w:rsidP="00FF65B9">
      <w:pPr>
        <w:jc w:val="both"/>
        <w:rPr>
          <w:rFonts w:ascii="Arial" w:hAnsi="Arial" w:cs="Arial"/>
          <w:sz w:val="20"/>
        </w:rPr>
      </w:pPr>
    </w:p>
    <w:p w:rsidR="00DF7A84" w:rsidRDefault="00DF7A84" w:rsidP="00FF65B9">
      <w:pPr>
        <w:jc w:val="both"/>
        <w:rPr>
          <w:rFonts w:ascii="Arial" w:hAnsi="Arial" w:cs="Arial"/>
          <w:sz w:val="20"/>
        </w:rPr>
      </w:pPr>
    </w:p>
    <w:p w:rsidR="005F0967" w:rsidRDefault="006E149A" w:rsidP="00FF65B9">
      <w:pPr>
        <w:jc w:val="both"/>
        <w:rPr>
          <w:rFonts w:ascii="Arial" w:hAnsi="Arial" w:cs="Arial"/>
          <w:sz w:val="20"/>
        </w:rPr>
      </w:pPr>
      <w:r>
        <w:rPr>
          <w:rFonts w:ascii="Arial" w:hAnsi="Arial" w:cs="Arial"/>
          <w:sz w:val="20"/>
        </w:rPr>
        <w:t>Nach den Bestimmungen des § 63 Abs. 1 der Kirchlichen Haushaltsordnung der EKHN</w:t>
      </w:r>
      <w:r w:rsidR="00BF74BD">
        <w:rPr>
          <w:rFonts w:ascii="Arial" w:hAnsi="Arial" w:cs="Arial"/>
          <w:sz w:val="20"/>
        </w:rPr>
        <w:t xml:space="preserve"> </w:t>
      </w:r>
      <w:r>
        <w:rPr>
          <w:rFonts w:ascii="Arial" w:hAnsi="Arial" w:cs="Arial"/>
          <w:sz w:val="20"/>
        </w:rPr>
        <w:t>in Verbindung mit der Rechtsverordnung über das Führen von Handvorschüssen (HVVO vom 03.03.2005</w:t>
      </w:r>
      <w:r w:rsidR="00FF65B9">
        <w:rPr>
          <w:rFonts w:ascii="Arial" w:hAnsi="Arial" w:cs="Arial"/>
          <w:sz w:val="20"/>
        </w:rPr>
        <w:t>, geändert am 02.07.2009)</w:t>
      </w:r>
      <w:r>
        <w:rPr>
          <w:rFonts w:ascii="Arial" w:hAnsi="Arial" w:cs="Arial"/>
          <w:sz w:val="20"/>
        </w:rPr>
        <w:t xml:space="preserve"> gibt es die Möglichkeit, zur Abwicklung regelmäßig wiederkehrender geringfügiger Barausgaben, Handvorschüsse zu gewähren.</w:t>
      </w:r>
    </w:p>
    <w:p w:rsidR="005F0967" w:rsidRDefault="005F0967" w:rsidP="00FF65B9">
      <w:pPr>
        <w:jc w:val="both"/>
        <w:rPr>
          <w:rFonts w:ascii="Arial" w:hAnsi="Arial" w:cs="Arial"/>
          <w:sz w:val="20"/>
        </w:rPr>
      </w:pPr>
    </w:p>
    <w:p w:rsidR="005F0967" w:rsidRDefault="006E149A" w:rsidP="00FF65B9">
      <w:pPr>
        <w:jc w:val="both"/>
        <w:rPr>
          <w:rFonts w:ascii="Arial" w:hAnsi="Arial" w:cs="Arial"/>
          <w:sz w:val="20"/>
        </w:rPr>
      </w:pPr>
      <w:r>
        <w:rPr>
          <w:rFonts w:ascii="Arial" w:hAnsi="Arial" w:cs="Arial"/>
          <w:sz w:val="20"/>
        </w:rPr>
        <w:t xml:space="preserve">Für das Einrichten und Führen von Handvorschüssen bzw. eines Handvorschusskontos bei der Ev. Regionalverwaltung </w:t>
      </w:r>
      <w:r w:rsidR="00FF65B9">
        <w:rPr>
          <w:rFonts w:ascii="Arial" w:hAnsi="Arial" w:cs="Arial"/>
          <w:sz w:val="20"/>
        </w:rPr>
        <w:t>Oberhessen</w:t>
      </w:r>
      <w:r>
        <w:rPr>
          <w:rFonts w:ascii="Arial" w:hAnsi="Arial" w:cs="Arial"/>
          <w:sz w:val="20"/>
        </w:rPr>
        <w:t xml:space="preserve"> gelten folgende Grundsätze:</w:t>
      </w:r>
    </w:p>
    <w:p w:rsidR="005F0967" w:rsidRDefault="005F0967" w:rsidP="00FF65B9">
      <w:pPr>
        <w:jc w:val="both"/>
        <w:rPr>
          <w:rFonts w:ascii="Arial" w:hAnsi="Arial" w:cs="Arial"/>
          <w:sz w:val="20"/>
        </w:rPr>
      </w:pPr>
    </w:p>
    <w:p w:rsidR="00FF65B9" w:rsidRDefault="006E149A" w:rsidP="00FF65B9">
      <w:pPr>
        <w:pStyle w:val="berschrift2"/>
        <w:rPr>
          <w:rFonts w:ascii="Arial" w:hAnsi="Arial" w:cs="Arial"/>
          <w:sz w:val="20"/>
        </w:rPr>
      </w:pPr>
      <w:r>
        <w:rPr>
          <w:rFonts w:ascii="Arial" w:hAnsi="Arial" w:cs="Arial"/>
          <w:sz w:val="20"/>
        </w:rPr>
        <w:t>Handvorschüsse / Handvorschusskonten</w:t>
      </w:r>
    </w:p>
    <w:p w:rsidR="005F0967" w:rsidRDefault="005F0967" w:rsidP="00FF65B9"/>
    <w:p w:rsidR="00FF65B9"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Für eine Kirchengemeinde bzw. Einrichtung kann jeweils ein Handvorschuss gewährt werden. Die Höhe des Handvorschusses liegt im Ermessen der Regionalverwa</w:t>
      </w:r>
      <w:r w:rsidR="00FF65B9">
        <w:rPr>
          <w:rFonts w:ascii="Arial" w:hAnsi="Arial" w:cs="Arial"/>
          <w:sz w:val="20"/>
        </w:rPr>
        <w:t>ltung. Er darf eine Höhe von 1.5</w:t>
      </w:r>
      <w:r>
        <w:rPr>
          <w:rFonts w:ascii="Arial" w:hAnsi="Arial" w:cs="Arial"/>
          <w:sz w:val="20"/>
        </w:rPr>
        <w:t>00,-- € nicht übersteigen.</w:t>
      </w:r>
      <w:r w:rsidR="00FF65B9">
        <w:rPr>
          <w:rFonts w:ascii="Arial" w:hAnsi="Arial" w:cs="Arial"/>
          <w:sz w:val="20"/>
        </w:rPr>
        <w:t xml:space="preserve"> </w:t>
      </w:r>
    </w:p>
    <w:p w:rsidR="005F0967" w:rsidRDefault="006E149A" w:rsidP="00FF65B9">
      <w:pPr>
        <w:ind w:left="720"/>
        <w:jc w:val="both"/>
        <w:rPr>
          <w:rFonts w:ascii="Arial" w:hAnsi="Arial" w:cs="Arial"/>
          <w:sz w:val="20"/>
        </w:rPr>
      </w:pPr>
      <w:r>
        <w:rPr>
          <w:rFonts w:ascii="Arial" w:hAnsi="Arial" w:cs="Arial"/>
          <w:sz w:val="20"/>
        </w:rPr>
        <w:t xml:space="preserve">Die Beantragung eines Handvorschusses erfolgt durch Beschluss des jeweiligen Vorstandes. </w:t>
      </w:r>
    </w:p>
    <w:p w:rsidR="005F0967" w:rsidRDefault="005F0967" w:rsidP="00FF65B9">
      <w:pPr>
        <w:jc w:val="both"/>
        <w:rPr>
          <w:rFonts w:ascii="Arial" w:hAnsi="Arial" w:cs="Arial"/>
          <w:sz w:val="20"/>
        </w:rPr>
      </w:pPr>
    </w:p>
    <w:p w:rsidR="00FF65B9"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Der Handvorschuss dient ausschließlich zur Abwicklung von geringfügigen Barauslagen und unabweisbaren Bareinnahmen. Unabweisbare Bareinnahmen sind sofort in die Handvorschussabrechnung mit aufzunehmen.</w:t>
      </w:r>
    </w:p>
    <w:p w:rsidR="005F0967" w:rsidRDefault="006E149A" w:rsidP="00FF65B9">
      <w:pPr>
        <w:ind w:left="720"/>
        <w:jc w:val="both"/>
        <w:rPr>
          <w:rFonts w:ascii="Arial" w:hAnsi="Arial" w:cs="Arial"/>
          <w:sz w:val="20"/>
        </w:rPr>
      </w:pPr>
      <w:r>
        <w:rPr>
          <w:rFonts w:ascii="Arial" w:hAnsi="Arial" w:cs="Arial"/>
          <w:sz w:val="20"/>
        </w:rPr>
        <w:t>Davon ausgenommen sind solche Einnahmen, die schriftlich durch die Kirchengemeinde / Einrichtung angefordert werden. Diese sind der Regionalverwaltung sofort zur Erhebung und Vereinnahmung anzu</w:t>
      </w:r>
      <w:r w:rsidR="00FF65B9">
        <w:rPr>
          <w:rFonts w:ascii="Arial" w:hAnsi="Arial" w:cs="Arial"/>
          <w:sz w:val="20"/>
        </w:rPr>
        <w:t>ordnen.</w:t>
      </w:r>
    </w:p>
    <w:p w:rsidR="00FF65B9" w:rsidRDefault="00FF65B9" w:rsidP="00FF65B9">
      <w:pPr>
        <w:ind w:left="720"/>
        <w:jc w:val="both"/>
        <w:rPr>
          <w:rFonts w:ascii="Arial" w:hAnsi="Arial" w:cs="Arial"/>
          <w:sz w:val="20"/>
        </w:rPr>
      </w:pPr>
    </w:p>
    <w:p w:rsidR="00FF65B9"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Für die bargeldlose Abwicklung des Handvorschusses zwischen der Einrichtung und der Ev. Regionalverwaltung kann von der Kirchengemeinde ein Girokonto vor Ort eingerichtet werden, welches nicht als Bankverbindung für den externen Zahlungsverkehr dient. Diese</w:t>
      </w:r>
      <w:r w:rsidR="00FF65B9">
        <w:rPr>
          <w:rFonts w:ascii="Arial" w:hAnsi="Arial" w:cs="Arial"/>
          <w:sz w:val="20"/>
        </w:rPr>
        <w:t>s</w:t>
      </w:r>
      <w:r>
        <w:rPr>
          <w:rFonts w:ascii="Arial" w:hAnsi="Arial" w:cs="Arial"/>
          <w:sz w:val="20"/>
        </w:rPr>
        <w:t xml:space="preserve"> Konto ist mit einem Zusatz „Handvorschuss der [Name der Einrichtung]</w:t>
      </w:r>
      <w:r w:rsidR="00FF65B9">
        <w:rPr>
          <w:rFonts w:ascii="Arial" w:hAnsi="Arial" w:cs="Arial"/>
          <w:sz w:val="20"/>
        </w:rPr>
        <w:t>"</w:t>
      </w:r>
      <w:r>
        <w:rPr>
          <w:rFonts w:ascii="Arial" w:hAnsi="Arial" w:cs="Arial"/>
          <w:sz w:val="20"/>
        </w:rPr>
        <w:t xml:space="preserve"> zu führen. Eine Veröffentlichung auf Briefbögen etc. darf nicht erfolgen. </w:t>
      </w:r>
      <w:r w:rsidR="00FF65B9">
        <w:rPr>
          <w:rFonts w:ascii="Arial" w:hAnsi="Arial" w:cs="Arial"/>
          <w:sz w:val="20"/>
        </w:rPr>
        <w:t>Die Nutzung der Bankverbindung für Bestellvorgänge, insbesondere bei Online-Bestellungen, ist nicht zulässig.</w:t>
      </w:r>
    </w:p>
    <w:p w:rsidR="00FF65B9" w:rsidRDefault="006E149A" w:rsidP="00FF65B9">
      <w:pPr>
        <w:ind w:left="720"/>
        <w:jc w:val="both"/>
        <w:rPr>
          <w:rFonts w:ascii="Arial" w:hAnsi="Arial" w:cs="Arial"/>
          <w:sz w:val="20"/>
        </w:rPr>
      </w:pPr>
      <w:r>
        <w:rPr>
          <w:rFonts w:ascii="Arial" w:hAnsi="Arial" w:cs="Arial"/>
          <w:sz w:val="20"/>
        </w:rPr>
        <w:t xml:space="preserve">Die </w:t>
      </w:r>
      <w:r w:rsidR="00FF65B9">
        <w:rPr>
          <w:rFonts w:ascii="Arial" w:hAnsi="Arial" w:cs="Arial"/>
          <w:sz w:val="20"/>
        </w:rPr>
        <w:t>Nutzung</w:t>
      </w:r>
      <w:r>
        <w:rPr>
          <w:rFonts w:ascii="Arial" w:hAnsi="Arial" w:cs="Arial"/>
          <w:sz w:val="20"/>
        </w:rPr>
        <w:t xml:space="preserve"> von Bankkarten mit </w:t>
      </w:r>
      <w:r w:rsidR="00FF65B9">
        <w:rPr>
          <w:rFonts w:ascii="Arial" w:hAnsi="Arial" w:cs="Arial"/>
          <w:sz w:val="20"/>
        </w:rPr>
        <w:t xml:space="preserve">einer elektronischen Zahlungsfunktion, </w:t>
      </w:r>
      <w:r>
        <w:rPr>
          <w:rFonts w:ascii="Arial" w:hAnsi="Arial" w:cs="Arial"/>
          <w:sz w:val="20"/>
        </w:rPr>
        <w:t>der Berechtigung des Bezuges von Bargeld an einem Geldautomaten</w:t>
      </w:r>
      <w:r w:rsidR="00FF65B9">
        <w:rPr>
          <w:rFonts w:ascii="Arial" w:hAnsi="Arial" w:cs="Arial"/>
          <w:sz w:val="20"/>
        </w:rPr>
        <w:t xml:space="preserve"> und</w:t>
      </w:r>
      <w:r>
        <w:rPr>
          <w:rFonts w:ascii="Arial" w:hAnsi="Arial" w:cs="Arial"/>
          <w:sz w:val="20"/>
        </w:rPr>
        <w:t xml:space="preserve"> der Bedienung des Kontoauszugsdruckers </w:t>
      </w:r>
      <w:r w:rsidR="00FF65B9">
        <w:rPr>
          <w:rFonts w:ascii="Arial" w:hAnsi="Arial" w:cs="Arial"/>
          <w:sz w:val="20"/>
        </w:rPr>
        <w:t>ist</w:t>
      </w:r>
      <w:r>
        <w:rPr>
          <w:rFonts w:ascii="Arial" w:hAnsi="Arial" w:cs="Arial"/>
          <w:sz w:val="20"/>
        </w:rPr>
        <w:t xml:space="preserve"> zulässig.</w:t>
      </w:r>
    </w:p>
    <w:p w:rsidR="005F0967" w:rsidRDefault="005F0967" w:rsidP="00FF65B9">
      <w:pPr>
        <w:ind w:left="720"/>
        <w:jc w:val="both"/>
        <w:rPr>
          <w:rFonts w:ascii="Arial" w:hAnsi="Arial" w:cs="Arial"/>
          <w:sz w:val="20"/>
        </w:rPr>
      </w:pPr>
    </w:p>
    <w:p w:rsidR="005F0967"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Die Verfügungsberechtigung für das Handvorschusskonto ist durch den Kontoinhaber  so zu regeln, dass neben dem Kontoinhaber auch die / der Verantwortliche für den Handvors</w:t>
      </w:r>
      <w:r w:rsidR="00FF65B9">
        <w:rPr>
          <w:rFonts w:ascii="Arial" w:hAnsi="Arial" w:cs="Arial"/>
          <w:sz w:val="20"/>
        </w:rPr>
        <w:t>chuss verfügungsberechtigt ist.</w:t>
      </w:r>
    </w:p>
    <w:p w:rsidR="00FF65B9" w:rsidRDefault="00FF65B9" w:rsidP="00FF65B9">
      <w:pPr>
        <w:ind w:left="708"/>
        <w:jc w:val="both"/>
        <w:rPr>
          <w:rFonts w:ascii="Arial" w:hAnsi="Arial" w:cs="Arial"/>
          <w:sz w:val="20"/>
        </w:rPr>
      </w:pPr>
    </w:p>
    <w:p w:rsidR="00FF65B9"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Für den Handvorschuss / das Handvorschusskonto ist von der Kirchengemeinde / Einrichtung ein/e für die Führung und Abrechnung Verantwortliche/r zu benennen. Bei Wechsel der Verantwortlichkeit (</w:t>
      </w:r>
      <w:r w:rsidR="00FF65B9">
        <w:rPr>
          <w:rFonts w:ascii="Arial" w:hAnsi="Arial" w:cs="Arial"/>
          <w:sz w:val="20"/>
        </w:rPr>
        <w:t>auch bei</w:t>
      </w:r>
      <w:r>
        <w:rPr>
          <w:rFonts w:ascii="Arial" w:hAnsi="Arial" w:cs="Arial"/>
          <w:sz w:val="20"/>
        </w:rPr>
        <w:t xml:space="preserve"> Urlaub oder Krankheit) ist eine Übergabe vorzunehmen und mittels eines Übergabeprotokolls zu bescheinigen. Dieses Protokoll ist durch die/ den Vorsitzende/n des </w:t>
      </w:r>
      <w:r w:rsidR="00FF65B9">
        <w:rPr>
          <w:rFonts w:ascii="Arial" w:hAnsi="Arial" w:cs="Arial"/>
          <w:sz w:val="20"/>
        </w:rPr>
        <w:t>V</w:t>
      </w:r>
      <w:r>
        <w:rPr>
          <w:rFonts w:ascii="Arial" w:hAnsi="Arial" w:cs="Arial"/>
          <w:sz w:val="20"/>
        </w:rPr>
        <w:t>o</w:t>
      </w:r>
      <w:r w:rsidR="00FF65B9">
        <w:rPr>
          <w:rFonts w:ascii="Arial" w:hAnsi="Arial" w:cs="Arial"/>
          <w:sz w:val="20"/>
        </w:rPr>
        <w:t xml:space="preserve">rstandes zu bestätigen und der </w:t>
      </w:r>
      <w:r>
        <w:rPr>
          <w:rFonts w:ascii="Arial" w:hAnsi="Arial" w:cs="Arial"/>
          <w:sz w:val="20"/>
        </w:rPr>
        <w:t>Regionalverwaltung in Kopie vorzulegen.</w:t>
      </w:r>
    </w:p>
    <w:p w:rsidR="00FF65B9" w:rsidRDefault="00FF65B9" w:rsidP="00FF65B9">
      <w:pPr>
        <w:pStyle w:val="Listenabsatz"/>
        <w:rPr>
          <w:rFonts w:ascii="Arial" w:hAnsi="Arial" w:cs="Arial"/>
          <w:sz w:val="20"/>
        </w:rPr>
      </w:pPr>
    </w:p>
    <w:p w:rsidR="005F0967"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 xml:space="preserve">Es ist ein Kassenbuch zu führen, in dem alle Bewegungen zu dokumentieren sind. Zur Führung des Kassenbuches </w:t>
      </w:r>
      <w:r w:rsidR="00FF65B9">
        <w:rPr>
          <w:rFonts w:ascii="Arial" w:hAnsi="Arial" w:cs="Arial"/>
          <w:sz w:val="20"/>
        </w:rPr>
        <w:t>stellt die Regionalverwaltung eine Excel-Datei zur Verfügung.</w:t>
      </w:r>
    </w:p>
    <w:p w:rsidR="005F0967" w:rsidRDefault="005F0967" w:rsidP="00FF65B9">
      <w:pPr>
        <w:ind w:left="708"/>
        <w:jc w:val="both"/>
        <w:rPr>
          <w:rFonts w:ascii="Arial" w:hAnsi="Arial" w:cs="Arial"/>
          <w:sz w:val="20"/>
        </w:rPr>
      </w:pPr>
    </w:p>
    <w:p w:rsidR="001A57A8" w:rsidRDefault="001A57A8" w:rsidP="00FF65B9">
      <w:pPr>
        <w:ind w:left="708"/>
        <w:jc w:val="both"/>
        <w:rPr>
          <w:rFonts w:ascii="Arial" w:hAnsi="Arial" w:cs="Arial"/>
          <w:sz w:val="20"/>
        </w:rPr>
      </w:pPr>
    </w:p>
    <w:p w:rsidR="001A57A8" w:rsidRDefault="001A57A8" w:rsidP="00FF65B9">
      <w:pPr>
        <w:ind w:left="708"/>
        <w:jc w:val="both"/>
        <w:rPr>
          <w:rFonts w:ascii="Arial" w:hAnsi="Arial" w:cs="Arial"/>
          <w:sz w:val="20"/>
        </w:rPr>
      </w:pPr>
    </w:p>
    <w:p w:rsidR="005F0967"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 xml:space="preserve">Die Aufsicht über das Handvorschusskonto obliegt dem/der Vorsitzenden des </w:t>
      </w:r>
      <w:r w:rsidR="00FF65B9">
        <w:rPr>
          <w:rFonts w:ascii="Arial" w:hAnsi="Arial" w:cs="Arial"/>
          <w:sz w:val="20"/>
        </w:rPr>
        <w:t>Vo</w:t>
      </w:r>
      <w:r>
        <w:rPr>
          <w:rFonts w:ascii="Arial" w:hAnsi="Arial" w:cs="Arial"/>
          <w:sz w:val="20"/>
        </w:rPr>
        <w:t>rstandes. Er</w:t>
      </w:r>
      <w:r w:rsidR="00FF65B9">
        <w:rPr>
          <w:rFonts w:ascii="Arial" w:hAnsi="Arial" w:cs="Arial"/>
          <w:sz w:val="20"/>
        </w:rPr>
        <w:t>/sie</w:t>
      </w:r>
      <w:r>
        <w:rPr>
          <w:rFonts w:ascii="Arial" w:hAnsi="Arial" w:cs="Arial"/>
          <w:sz w:val="20"/>
        </w:rPr>
        <w:t xml:space="preserve"> nimmt mindestens einmal im Jahr eine Kassenprüfung vor. Hierüber ist eine Niederschrift zu fertigen, die der Regionalverwaltung jeweils bis zum 31.10. jeden Jahres vorgelegt wird. Entsprechende Vordrucke werden von der Regionalverwaltung zur Verfügung gestellt.</w:t>
      </w:r>
    </w:p>
    <w:p w:rsidR="005F0967" w:rsidRDefault="005F0967" w:rsidP="00FF65B9">
      <w:pPr>
        <w:rPr>
          <w:rFonts w:ascii="Arial" w:hAnsi="Arial" w:cs="Arial"/>
          <w:sz w:val="20"/>
        </w:rPr>
      </w:pPr>
    </w:p>
    <w:p w:rsidR="005F0967" w:rsidRDefault="005F0967" w:rsidP="00FF65B9">
      <w:pPr>
        <w:jc w:val="both"/>
        <w:rPr>
          <w:rFonts w:ascii="Arial" w:hAnsi="Arial" w:cs="Arial"/>
          <w:sz w:val="20"/>
        </w:rPr>
      </w:pPr>
    </w:p>
    <w:p w:rsidR="00FF65B9"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Der Handvorschuss / das Handvorschusskonto ist laufend, spätestens vierteljährlich, mit der Regionalverwaltung abzurechnen. Hierzu sind neben den entsprechenden Anordnungen die Aufzeichnungen des Kassenbuchs und der Kontoauszug mit vorzulegen.</w:t>
      </w:r>
    </w:p>
    <w:p w:rsidR="005F0967" w:rsidRDefault="005F0967" w:rsidP="00FF65B9">
      <w:pPr>
        <w:ind w:left="720"/>
        <w:jc w:val="both"/>
        <w:rPr>
          <w:rFonts w:ascii="Arial" w:hAnsi="Arial" w:cs="Arial"/>
          <w:sz w:val="20"/>
        </w:rPr>
      </w:pPr>
    </w:p>
    <w:p w:rsidR="00FF65B9"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Über das Handvorschusskonto sind keine Überweisungen und Lastschriften vorzunehmen, die unmittelbar durch die Reg</w:t>
      </w:r>
      <w:r w:rsidR="00FF65B9">
        <w:rPr>
          <w:rFonts w:ascii="Arial" w:hAnsi="Arial" w:cs="Arial"/>
          <w:sz w:val="20"/>
        </w:rPr>
        <w:t>ionalverwaltung zu leisten sind.</w:t>
      </w:r>
    </w:p>
    <w:p w:rsidR="00FF65B9" w:rsidRDefault="006E149A" w:rsidP="00FF65B9">
      <w:pPr>
        <w:ind w:left="720"/>
        <w:jc w:val="both"/>
        <w:rPr>
          <w:rFonts w:ascii="Arial" w:hAnsi="Arial" w:cs="Arial"/>
          <w:sz w:val="20"/>
        </w:rPr>
      </w:pPr>
      <w:r>
        <w:rPr>
          <w:rFonts w:ascii="Arial" w:hAnsi="Arial" w:cs="Arial"/>
          <w:sz w:val="20"/>
        </w:rPr>
        <w:t>Vergütungs- und Honorarzahlungen</w:t>
      </w:r>
      <w:r w:rsidR="00FF65B9">
        <w:rPr>
          <w:rFonts w:ascii="Arial" w:hAnsi="Arial" w:cs="Arial"/>
          <w:sz w:val="20"/>
        </w:rPr>
        <w:t xml:space="preserve"> sind unzulässig!</w:t>
      </w:r>
    </w:p>
    <w:p w:rsidR="005F0967" w:rsidRDefault="005F0967" w:rsidP="00FF65B9">
      <w:pPr>
        <w:ind w:left="720"/>
        <w:jc w:val="both"/>
        <w:rPr>
          <w:rFonts w:ascii="Arial" w:hAnsi="Arial" w:cs="Arial"/>
          <w:sz w:val="20"/>
        </w:rPr>
      </w:pPr>
    </w:p>
    <w:p w:rsidR="00FF65B9" w:rsidRDefault="006E149A" w:rsidP="00FF65B9">
      <w:pPr>
        <w:numPr>
          <w:ilvl w:val="0"/>
          <w:numId w:val="1"/>
        </w:numPr>
        <w:tabs>
          <w:tab w:val="clear" w:pos="720"/>
        </w:tabs>
        <w:ind w:hanging="720"/>
        <w:jc w:val="both"/>
        <w:rPr>
          <w:rFonts w:ascii="Arial" w:hAnsi="Arial" w:cs="Arial"/>
          <w:sz w:val="20"/>
        </w:rPr>
      </w:pPr>
      <w:r>
        <w:rPr>
          <w:rFonts w:ascii="Arial" w:hAnsi="Arial" w:cs="Arial"/>
          <w:sz w:val="20"/>
        </w:rPr>
        <w:t xml:space="preserve">Die Kosten </w:t>
      </w:r>
      <w:r w:rsidR="00BF74BD">
        <w:rPr>
          <w:rFonts w:ascii="Arial" w:hAnsi="Arial" w:cs="Arial"/>
          <w:sz w:val="20"/>
        </w:rPr>
        <w:t>der</w:t>
      </w:r>
      <w:r>
        <w:rPr>
          <w:rFonts w:ascii="Arial" w:hAnsi="Arial" w:cs="Arial"/>
          <w:sz w:val="20"/>
        </w:rPr>
        <w:t xml:space="preserve"> lfd. </w:t>
      </w:r>
      <w:proofErr w:type="gramStart"/>
      <w:r>
        <w:rPr>
          <w:rFonts w:ascii="Arial" w:hAnsi="Arial" w:cs="Arial"/>
          <w:sz w:val="20"/>
        </w:rPr>
        <w:t>Kontofüh</w:t>
      </w:r>
      <w:r w:rsidR="00FF65B9">
        <w:rPr>
          <w:rFonts w:ascii="Arial" w:hAnsi="Arial" w:cs="Arial"/>
          <w:sz w:val="20"/>
        </w:rPr>
        <w:t>rung</w:t>
      </w:r>
      <w:proofErr w:type="gramEnd"/>
      <w:r w:rsidR="00FF65B9">
        <w:rPr>
          <w:rFonts w:ascii="Arial" w:hAnsi="Arial" w:cs="Arial"/>
          <w:sz w:val="20"/>
        </w:rPr>
        <w:t xml:space="preserve"> sind als Geschäftsaufwand abzurechnen.</w:t>
      </w:r>
    </w:p>
    <w:p w:rsidR="005F0967" w:rsidRDefault="005F0967" w:rsidP="00FF65B9">
      <w:pPr>
        <w:ind w:left="720"/>
        <w:jc w:val="both"/>
        <w:rPr>
          <w:rFonts w:ascii="Arial" w:hAnsi="Arial" w:cs="Arial"/>
          <w:sz w:val="20"/>
        </w:rPr>
      </w:pPr>
    </w:p>
    <w:p w:rsidR="00FF65B9" w:rsidRDefault="00FF65B9" w:rsidP="00FF65B9">
      <w:pPr>
        <w:ind w:left="720"/>
        <w:jc w:val="both"/>
        <w:rPr>
          <w:rFonts w:ascii="Arial" w:hAnsi="Arial" w:cs="Arial"/>
          <w:sz w:val="20"/>
        </w:rPr>
      </w:pPr>
    </w:p>
    <w:p w:rsidR="005F0967" w:rsidRDefault="005F0967" w:rsidP="00FF65B9">
      <w:pPr>
        <w:jc w:val="both"/>
        <w:rPr>
          <w:rFonts w:ascii="Arial" w:hAnsi="Arial" w:cs="Arial"/>
          <w:b/>
          <w:bCs/>
          <w:sz w:val="20"/>
          <w:u w:val="single"/>
        </w:rPr>
      </w:pPr>
    </w:p>
    <w:p w:rsidR="00FF65B9" w:rsidRPr="00FF65B9" w:rsidRDefault="006E149A" w:rsidP="00FF65B9">
      <w:pPr>
        <w:pStyle w:val="berschrift2"/>
        <w:rPr>
          <w:rFonts w:ascii="Arial" w:hAnsi="Arial" w:cs="Arial"/>
          <w:sz w:val="20"/>
        </w:rPr>
      </w:pPr>
      <w:r w:rsidRPr="00FF65B9">
        <w:rPr>
          <w:rFonts w:ascii="Arial" w:hAnsi="Arial" w:cs="Arial"/>
          <w:sz w:val="20"/>
        </w:rPr>
        <w:t>Vorschüsse für besondere Maßnahmen oder Projekte</w:t>
      </w:r>
    </w:p>
    <w:p w:rsidR="00FF65B9" w:rsidRDefault="00FF65B9" w:rsidP="00FF65B9">
      <w:pPr>
        <w:jc w:val="both"/>
        <w:rPr>
          <w:rFonts w:ascii="Arial" w:hAnsi="Arial" w:cs="Arial"/>
          <w:sz w:val="20"/>
        </w:rPr>
      </w:pPr>
    </w:p>
    <w:p w:rsidR="005F0967" w:rsidRDefault="006E149A" w:rsidP="00FF65B9">
      <w:pPr>
        <w:jc w:val="both"/>
        <w:rPr>
          <w:rFonts w:ascii="Arial" w:hAnsi="Arial" w:cs="Arial"/>
          <w:sz w:val="20"/>
        </w:rPr>
      </w:pPr>
      <w:r>
        <w:rPr>
          <w:rFonts w:ascii="Arial" w:hAnsi="Arial" w:cs="Arial"/>
          <w:sz w:val="20"/>
        </w:rPr>
        <w:t xml:space="preserve">Für besondere Maßnahmen und Projekte </w:t>
      </w:r>
      <w:r w:rsidR="00FF65B9">
        <w:rPr>
          <w:rFonts w:ascii="Arial" w:hAnsi="Arial" w:cs="Arial"/>
          <w:sz w:val="20"/>
        </w:rPr>
        <w:t>(</w:t>
      </w:r>
      <w:r>
        <w:rPr>
          <w:rFonts w:ascii="Arial" w:hAnsi="Arial" w:cs="Arial"/>
          <w:sz w:val="20"/>
        </w:rPr>
        <w:t>z.B. Konzerte, Freizeiten</w:t>
      </w:r>
      <w:r w:rsidR="00FF65B9">
        <w:rPr>
          <w:rFonts w:ascii="Arial" w:hAnsi="Arial" w:cs="Arial"/>
          <w:sz w:val="20"/>
        </w:rPr>
        <w:t>)</w:t>
      </w:r>
      <w:r>
        <w:rPr>
          <w:rFonts w:ascii="Arial" w:hAnsi="Arial" w:cs="Arial"/>
          <w:sz w:val="20"/>
        </w:rPr>
        <w:t xml:space="preserve"> </w:t>
      </w:r>
      <w:r w:rsidR="00FF65B9">
        <w:rPr>
          <w:rFonts w:ascii="Arial" w:hAnsi="Arial" w:cs="Arial"/>
          <w:sz w:val="20"/>
        </w:rPr>
        <w:t xml:space="preserve">können </w:t>
      </w:r>
      <w:r>
        <w:rPr>
          <w:rFonts w:ascii="Arial" w:hAnsi="Arial" w:cs="Arial"/>
          <w:sz w:val="20"/>
        </w:rPr>
        <w:t>Einzelvorschüsse</w:t>
      </w:r>
      <w:r w:rsidR="00FF65B9">
        <w:rPr>
          <w:rFonts w:ascii="Arial" w:hAnsi="Arial" w:cs="Arial"/>
          <w:sz w:val="20"/>
        </w:rPr>
        <w:t xml:space="preserve"> gewährt werde</w:t>
      </w:r>
      <w:r>
        <w:rPr>
          <w:rFonts w:ascii="Arial" w:hAnsi="Arial" w:cs="Arial"/>
          <w:sz w:val="20"/>
        </w:rPr>
        <w:t xml:space="preserve">n. Diese sind rechtzeitig bei der Regionalverwaltung anzumelden und zeitnah, spätestens einen Monat nach Abschluss der Maßnahme, mit der Regionalverwaltung abzurechnen. </w:t>
      </w:r>
    </w:p>
    <w:p w:rsidR="005F0967" w:rsidRDefault="005F0967" w:rsidP="00FF65B9">
      <w:pPr>
        <w:jc w:val="both"/>
        <w:rPr>
          <w:rFonts w:ascii="Arial" w:hAnsi="Arial" w:cs="Arial"/>
          <w:sz w:val="20"/>
        </w:rPr>
      </w:pPr>
    </w:p>
    <w:p w:rsidR="005F0967" w:rsidRDefault="006E149A" w:rsidP="00FF65B9">
      <w:pPr>
        <w:jc w:val="both"/>
        <w:rPr>
          <w:rFonts w:ascii="Arial" w:hAnsi="Arial" w:cs="Arial"/>
          <w:sz w:val="20"/>
        </w:rPr>
      </w:pPr>
      <w:r>
        <w:rPr>
          <w:rFonts w:ascii="Arial" w:hAnsi="Arial" w:cs="Arial"/>
          <w:sz w:val="20"/>
        </w:rPr>
        <w:t>Erstattungen von Vorlagen und sonstigen Auszahlungen an die Kollektenkassen sind auszuschließen.</w:t>
      </w: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FF65B9" w:rsidP="00FF65B9">
      <w:pPr>
        <w:jc w:val="both"/>
        <w:rPr>
          <w:rFonts w:ascii="Arial" w:hAnsi="Arial" w:cs="Arial"/>
          <w:sz w:val="20"/>
        </w:rPr>
      </w:pPr>
      <w:r>
        <w:rPr>
          <w:rFonts w:ascii="Arial" w:hAnsi="Arial" w:cs="Arial"/>
          <w:sz w:val="20"/>
        </w:rPr>
        <w:t>Gießen</w:t>
      </w:r>
      <w:r w:rsidR="006E149A">
        <w:rPr>
          <w:rFonts w:ascii="Arial" w:hAnsi="Arial" w:cs="Arial"/>
          <w:sz w:val="20"/>
        </w:rPr>
        <w:t xml:space="preserve">, den </w:t>
      </w:r>
      <w:r w:rsidR="006C400B">
        <w:rPr>
          <w:rFonts w:ascii="Arial" w:hAnsi="Arial" w:cs="Arial"/>
          <w:sz w:val="20"/>
        </w:rPr>
        <w:t>2</w:t>
      </w:r>
      <w:r w:rsidR="00CE19ED">
        <w:rPr>
          <w:rFonts w:ascii="Arial" w:hAnsi="Arial" w:cs="Arial"/>
          <w:sz w:val="20"/>
        </w:rPr>
        <w:t>4.10</w:t>
      </w:r>
      <w:r w:rsidR="00DF7A84">
        <w:rPr>
          <w:rFonts w:ascii="Arial" w:hAnsi="Arial" w:cs="Arial"/>
          <w:sz w:val="20"/>
        </w:rPr>
        <w:t>.2019</w:t>
      </w:r>
    </w:p>
    <w:p w:rsidR="005F0967" w:rsidRDefault="00DF7A84" w:rsidP="00DF7A84">
      <w:pPr>
        <w:tabs>
          <w:tab w:val="left" w:pos="1125"/>
        </w:tabs>
        <w:jc w:val="both"/>
        <w:rPr>
          <w:rFonts w:ascii="Arial" w:hAnsi="Arial" w:cs="Arial"/>
          <w:sz w:val="20"/>
        </w:rPr>
      </w:pPr>
      <w:r>
        <w:rPr>
          <w:rFonts w:ascii="Arial" w:hAnsi="Arial" w:cs="Arial"/>
          <w:sz w:val="20"/>
        </w:rPr>
        <w:tab/>
      </w:r>
    </w:p>
    <w:p w:rsidR="005F0967" w:rsidRDefault="003772BB" w:rsidP="00FF65B9">
      <w:pPr>
        <w:jc w:val="both"/>
        <w:rPr>
          <w:rFonts w:ascii="Arial" w:hAnsi="Arial" w:cs="Arial"/>
          <w:sz w:val="20"/>
        </w:rPr>
      </w:pPr>
      <w:r>
        <w:rPr>
          <w:rFonts w:ascii="Arial" w:hAnsi="Arial" w:cs="Arial"/>
          <w:sz w:val="20"/>
        </w:rPr>
        <w:t>gez. Ralf Schnell</w:t>
      </w:r>
    </w:p>
    <w:p w:rsidR="005F0967" w:rsidRDefault="005F0967" w:rsidP="00FF65B9">
      <w:pPr>
        <w:jc w:val="both"/>
        <w:rPr>
          <w:rFonts w:ascii="Arial" w:hAnsi="Arial" w:cs="Arial"/>
          <w:sz w:val="20"/>
        </w:rPr>
      </w:pPr>
    </w:p>
    <w:p w:rsidR="005F0967" w:rsidRDefault="003772BB" w:rsidP="00FF65B9">
      <w:pPr>
        <w:jc w:val="both"/>
        <w:rPr>
          <w:rFonts w:ascii="Arial" w:hAnsi="Arial" w:cs="Arial"/>
          <w:sz w:val="20"/>
        </w:rPr>
      </w:pPr>
      <w:r>
        <w:rPr>
          <w:rFonts w:ascii="Arial" w:hAnsi="Arial" w:cs="Arial"/>
          <w:sz w:val="20"/>
        </w:rPr>
        <w:t>s</w:t>
      </w:r>
      <w:r w:rsidR="00DF7A84">
        <w:rPr>
          <w:rFonts w:ascii="Arial" w:hAnsi="Arial" w:cs="Arial"/>
          <w:sz w:val="20"/>
        </w:rPr>
        <w:t>tellv. Leiter</w:t>
      </w:r>
      <w:r w:rsidR="00940A89">
        <w:rPr>
          <w:rFonts w:ascii="Arial" w:hAnsi="Arial" w:cs="Arial"/>
          <w:sz w:val="20"/>
        </w:rPr>
        <w:t xml:space="preserve"> </w:t>
      </w:r>
      <w:r w:rsidR="00DF7A84">
        <w:rPr>
          <w:rFonts w:ascii="Arial" w:hAnsi="Arial" w:cs="Arial"/>
          <w:sz w:val="20"/>
        </w:rPr>
        <w:t xml:space="preserve"> Ev. Regionalverwaltung Oberhessen </w:t>
      </w:r>
    </w:p>
    <w:p w:rsidR="00940A89" w:rsidRDefault="00940A89"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5F0967" w:rsidP="00BF74BD">
      <w:pPr>
        <w:pBdr>
          <w:bottom w:val="single" w:sz="4" w:space="1" w:color="auto"/>
        </w:pBdr>
        <w:jc w:val="both"/>
        <w:rPr>
          <w:rFonts w:ascii="Arial" w:hAnsi="Arial" w:cs="Arial"/>
          <w:sz w:val="20"/>
        </w:rPr>
      </w:pPr>
    </w:p>
    <w:p w:rsidR="005F0967" w:rsidRDefault="005F0967" w:rsidP="00FF65B9">
      <w:pPr>
        <w:jc w:val="both"/>
        <w:rPr>
          <w:rFonts w:ascii="Arial" w:hAnsi="Arial" w:cs="Arial"/>
          <w:sz w:val="20"/>
        </w:rPr>
      </w:pPr>
    </w:p>
    <w:p w:rsidR="00BF74BD" w:rsidRDefault="00BF74BD"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6E149A" w:rsidP="00FF65B9">
      <w:pPr>
        <w:jc w:val="both"/>
        <w:rPr>
          <w:rFonts w:ascii="Arial" w:hAnsi="Arial" w:cs="Arial"/>
          <w:sz w:val="20"/>
        </w:rPr>
      </w:pPr>
      <w:r>
        <w:rPr>
          <w:rFonts w:ascii="Arial" w:hAnsi="Arial" w:cs="Arial"/>
          <w:sz w:val="20"/>
        </w:rPr>
        <w:t>Vorstehende Richtlinien habe ich zur Kenntnis genommen.</w:t>
      </w: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FF65B9" w:rsidP="00FF65B9">
      <w:pPr>
        <w:jc w:val="both"/>
        <w:rPr>
          <w:rFonts w:ascii="Arial" w:hAnsi="Arial" w:cs="Arial"/>
          <w:sz w:val="20"/>
        </w:rPr>
      </w:pPr>
      <w:r>
        <w:rPr>
          <w:rFonts w:ascii="Arial" w:hAnsi="Arial" w:cs="Arial"/>
          <w:sz w:val="20"/>
        </w:rPr>
        <w:t>……………….</w:t>
      </w:r>
      <w:r w:rsidR="006E149A">
        <w:rPr>
          <w:rFonts w:ascii="Arial" w:hAnsi="Arial" w:cs="Arial"/>
          <w:sz w:val="20"/>
        </w:rPr>
        <w:t>........................., den ...................</w:t>
      </w:r>
    </w:p>
    <w:p w:rsidR="005F0967" w:rsidRDefault="006E149A" w:rsidP="00FF65B9">
      <w:pPr>
        <w:jc w:val="both"/>
        <w:rPr>
          <w:rFonts w:ascii="Arial" w:hAnsi="Arial" w:cs="Arial"/>
          <w:sz w:val="20"/>
        </w:rPr>
      </w:pPr>
      <w:r>
        <w:rPr>
          <w:rFonts w:ascii="Arial" w:hAnsi="Arial" w:cs="Arial"/>
          <w:sz w:val="20"/>
        </w:rPr>
        <w:t>Ort, Datum</w:t>
      </w: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5F0967" w:rsidP="00FF65B9">
      <w:pPr>
        <w:jc w:val="both"/>
        <w:rPr>
          <w:rFonts w:ascii="Arial" w:hAnsi="Arial" w:cs="Arial"/>
          <w:sz w:val="20"/>
        </w:rPr>
      </w:pPr>
    </w:p>
    <w:p w:rsidR="005F0967" w:rsidRDefault="006E149A" w:rsidP="00FF65B9">
      <w:pPr>
        <w:jc w:val="both"/>
        <w:rPr>
          <w:rFonts w:ascii="Arial" w:hAnsi="Arial" w:cs="Arial"/>
          <w:sz w:val="20"/>
        </w:rPr>
      </w:pPr>
      <w:r>
        <w:rPr>
          <w:rFonts w:ascii="Arial" w:hAnsi="Arial" w:cs="Arial"/>
          <w:sz w:val="20"/>
        </w:rPr>
        <w:t>.....................</w:t>
      </w:r>
      <w:r w:rsidR="00FF65B9">
        <w:rPr>
          <w:rFonts w:ascii="Arial" w:hAnsi="Arial" w:cs="Arial"/>
          <w:sz w:val="20"/>
        </w:rPr>
        <w:t>.............</w:t>
      </w:r>
      <w:r>
        <w:rPr>
          <w:rFonts w:ascii="Arial" w:hAnsi="Arial" w:cs="Arial"/>
          <w:sz w:val="20"/>
        </w:rPr>
        <w:t>............................</w:t>
      </w:r>
    </w:p>
    <w:p w:rsidR="005F0967" w:rsidRDefault="006E149A" w:rsidP="00FF65B9">
      <w:pPr>
        <w:jc w:val="both"/>
        <w:rPr>
          <w:rFonts w:ascii="Arial" w:hAnsi="Arial" w:cs="Arial"/>
          <w:sz w:val="20"/>
        </w:rPr>
      </w:pPr>
      <w:r>
        <w:rPr>
          <w:rFonts w:ascii="Arial" w:hAnsi="Arial" w:cs="Arial"/>
          <w:sz w:val="20"/>
        </w:rPr>
        <w:t>Unterschrift Handkassenführer/in</w:t>
      </w:r>
    </w:p>
    <w:p w:rsidR="005F0967" w:rsidRDefault="005F0967" w:rsidP="00FF65B9">
      <w:pPr>
        <w:jc w:val="both"/>
        <w:rPr>
          <w:rFonts w:ascii="Arial" w:hAnsi="Arial" w:cs="Arial"/>
          <w:sz w:val="20"/>
        </w:rPr>
      </w:pPr>
    </w:p>
    <w:sectPr w:rsidR="005F0967" w:rsidSect="00BF74BD">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ED" w:rsidRDefault="00F043ED" w:rsidP="006E149A">
      <w:r>
        <w:separator/>
      </w:r>
    </w:p>
  </w:endnote>
  <w:endnote w:type="continuationSeparator" w:id="0">
    <w:p w:rsidR="00F043ED" w:rsidRDefault="00F043ED" w:rsidP="006E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C9" w:rsidRPr="00BF74BD" w:rsidRDefault="007866C9">
    <w:pPr>
      <w:pStyle w:val="Fuzeile"/>
      <w:rPr>
        <w:rFonts w:ascii="Arial" w:hAnsi="Arial" w:cs="Arial"/>
        <w:sz w:val="18"/>
        <w:szCs w:val="18"/>
      </w:rPr>
    </w:pPr>
    <w:r w:rsidRPr="00BF74BD">
      <w:rPr>
        <w:rFonts w:ascii="Arial" w:hAnsi="Arial" w:cs="Arial"/>
        <w:sz w:val="18"/>
        <w:szCs w:val="18"/>
      </w:rPr>
      <w:fldChar w:fldCharType="begin"/>
    </w:r>
    <w:r w:rsidRPr="00BF74BD">
      <w:rPr>
        <w:rFonts w:ascii="Arial" w:hAnsi="Arial" w:cs="Arial"/>
        <w:sz w:val="18"/>
        <w:szCs w:val="18"/>
      </w:rPr>
      <w:instrText xml:space="preserve"> FILENAME  \p  \* MERGEFORMAT </w:instrText>
    </w:r>
    <w:r w:rsidRPr="00BF74BD">
      <w:rPr>
        <w:rFonts w:ascii="Arial" w:hAnsi="Arial" w:cs="Arial"/>
        <w:sz w:val="18"/>
        <w:szCs w:val="18"/>
      </w:rPr>
      <w:fldChar w:fldCharType="separate"/>
    </w:r>
    <w:r w:rsidR="00CE19ED">
      <w:rPr>
        <w:rFonts w:ascii="Arial" w:hAnsi="Arial" w:cs="Arial"/>
        <w:noProof/>
        <w:sz w:val="18"/>
        <w:szCs w:val="18"/>
      </w:rPr>
      <w:t>O:\RV-OH-Finanzwesen\Handkasse\Richtlinien-Handvorschuss RV-OH 09_04_14.docx</w:t>
    </w:r>
    <w:r w:rsidRPr="00BF74BD">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C9" w:rsidRPr="00BF74BD" w:rsidRDefault="007866C9" w:rsidP="00BF74BD">
    <w:pPr>
      <w:pStyle w:val="Fuzeile"/>
      <w:rPr>
        <w:rFonts w:ascii="Arial" w:hAnsi="Arial" w:cs="Arial"/>
        <w:sz w:val="18"/>
        <w:szCs w:val="18"/>
      </w:rPr>
    </w:pPr>
    <w:r w:rsidRPr="00BF74BD">
      <w:rPr>
        <w:rFonts w:ascii="Arial" w:hAnsi="Arial" w:cs="Arial"/>
        <w:sz w:val="18"/>
        <w:szCs w:val="18"/>
      </w:rPr>
      <w:fldChar w:fldCharType="begin"/>
    </w:r>
    <w:r w:rsidRPr="00BF74BD">
      <w:rPr>
        <w:rFonts w:ascii="Arial" w:hAnsi="Arial" w:cs="Arial"/>
        <w:sz w:val="18"/>
        <w:szCs w:val="18"/>
      </w:rPr>
      <w:instrText xml:space="preserve"> FILENAME  \p  \* MERGEFORMAT </w:instrText>
    </w:r>
    <w:r w:rsidRPr="00BF74BD">
      <w:rPr>
        <w:rFonts w:ascii="Arial" w:hAnsi="Arial" w:cs="Arial"/>
        <w:sz w:val="18"/>
        <w:szCs w:val="18"/>
      </w:rPr>
      <w:fldChar w:fldCharType="separate"/>
    </w:r>
    <w:r w:rsidR="00CE19ED">
      <w:rPr>
        <w:rFonts w:ascii="Arial" w:hAnsi="Arial" w:cs="Arial"/>
        <w:noProof/>
        <w:sz w:val="18"/>
        <w:szCs w:val="18"/>
      </w:rPr>
      <w:t>O:\RV-OH-Finanzwesen\Handkasse\Richtlinien-Handvorschuss RV-OH 09_04_14.docx</w:t>
    </w:r>
    <w:r w:rsidRPr="00BF74BD">
      <w:rPr>
        <w:rFonts w:ascii="Arial" w:hAnsi="Arial" w:cs="Arial"/>
        <w:noProof/>
        <w:sz w:val="18"/>
        <w:szCs w:val="18"/>
      </w:rPr>
      <w:fldChar w:fldCharType="end"/>
    </w:r>
    <w:r>
      <w:rPr>
        <w:rFonts w:ascii="Arial" w:hAnsi="Arial" w:cs="Arial"/>
        <w:noProof/>
        <w:sz w:val="18"/>
        <w:szCs w:val="18"/>
      </w:rPr>
      <w:tab/>
      <w:t>bitte wenden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ED" w:rsidRDefault="00F043ED" w:rsidP="006E149A">
      <w:r>
        <w:separator/>
      </w:r>
    </w:p>
  </w:footnote>
  <w:footnote w:type="continuationSeparator" w:id="0">
    <w:p w:rsidR="00F043ED" w:rsidRDefault="00F043ED" w:rsidP="006E1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5A7"/>
    <w:multiLevelType w:val="hybridMultilevel"/>
    <w:tmpl w:val="73F044D2"/>
    <w:lvl w:ilvl="0" w:tplc="A740AA9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72C4CA1"/>
    <w:multiLevelType w:val="hybridMultilevel"/>
    <w:tmpl w:val="E0F000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Z/WrtLslgs4F++dNO65oU4p2gk=" w:salt="rGrrauFAr3nxc3wiugG3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B9"/>
    <w:rsid w:val="000B294D"/>
    <w:rsid w:val="000F6605"/>
    <w:rsid w:val="001A57A8"/>
    <w:rsid w:val="00225A00"/>
    <w:rsid w:val="003772BB"/>
    <w:rsid w:val="0043617B"/>
    <w:rsid w:val="005020EB"/>
    <w:rsid w:val="00540B07"/>
    <w:rsid w:val="00544C62"/>
    <w:rsid w:val="005F0967"/>
    <w:rsid w:val="006256EA"/>
    <w:rsid w:val="006C400B"/>
    <w:rsid w:val="006E149A"/>
    <w:rsid w:val="006E459C"/>
    <w:rsid w:val="007866C9"/>
    <w:rsid w:val="008B2386"/>
    <w:rsid w:val="00940A89"/>
    <w:rsid w:val="009D26F7"/>
    <w:rsid w:val="00A47FD4"/>
    <w:rsid w:val="00BF74BD"/>
    <w:rsid w:val="00C84754"/>
    <w:rsid w:val="00CE19ED"/>
    <w:rsid w:val="00D3563A"/>
    <w:rsid w:val="00D472A5"/>
    <w:rsid w:val="00DF7A84"/>
    <w:rsid w:val="00E6380A"/>
    <w:rsid w:val="00F043ED"/>
    <w:rsid w:val="00FF6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5B9"/>
    <w:pPr>
      <w:ind w:left="708"/>
    </w:pPr>
  </w:style>
  <w:style w:type="paragraph" w:styleId="Kopfzeile">
    <w:name w:val="header"/>
    <w:basedOn w:val="Standard"/>
    <w:link w:val="KopfzeileZchn"/>
    <w:uiPriority w:val="99"/>
    <w:unhideWhenUsed/>
    <w:rsid w:val="006E149A"/>
    <w:pPr>
      <w:tabs>
        <w:tab w:val="center" w:pos="4536"/>
        <w:tab w:val="right" w:pos="9072"/>
      </w:tabs>
    </w:pPr>
  </w:style>
  <w:style w:type="character" w:customStyle="1" w:styleId="KopfzeileZchn">
    <w:name w:val="Kopfzeile Zchn"/>
    <w:basedOn w:val="Absatz-Standardschriftart"/>
    <w:link w:val="Kopfzeile"/>
    <w:uiPriority w:val="99"/>
    <w:rsid w:val="006E149A"/>
    <w:rPr>
      <w:sz w:val="24"/>
      <w:szCs w:val="24"/>
    </w:rPr>
  </w:style>
  <w:style w:type="paragraph" w:styleId="Fuzeile">
    <w:name w:val="footer"/>
    <w:basedOn w:val="Standard"/>
    <w:link w:val="FuzeileZchn"/>
    <w:uiPriority w:val="99"/>
    <w:unhideWhenUsed/>
    <w:rsid w:val="006E149A"/>
    <w:pPr>
      <w:tabs>
        <w:tab w:val="center" w:pos="4536"/>
        <w:tab w:val="right" w:pos="9072"/>
      </w:tabs>
    </w:pPr>
  </w:style>
  <w:style w:type="character" w:customStyle="1" w:styleId="FuzeileZchn">
    <w:name w:val="Fußzeile Zchn"/>
    <w:basedOn w:val="Absatz-Standardschriftart"/>
    <w:link w:val="Fuzeile"/>
    <w:uiPriority w:val="99"/>
    <w:rsid w:val="006E149A"/>
    <w:rPr>
      <w:sz w:val="24"/>
      <w:szCs w:val="24"/>
    </w:rPr>
  </w:style>
  <w:style w:type="paragraph" w:styleId="Sprechblasentext">
    <w:name w:val="Balloon Text"/>
    <w:basedOn w:val="Standard"/>
    <w:link w:val="SprechblasentextZchn"/>
    <w:uiPriority w:val="99"/>
    <w:semiHidden/>
    <w:unhideWhenUsed/>
    <w:rsid w:val="003772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5B9"/>
    <w:pPr>
      <w:ind w:left="708"/>
    </w:pPr>
  </w:style>
  <w:style w:type="paragraph" w:styleId="Kopfzeile">
    <w:name w:val="header"/>
    <w:basedOn w:val="Standard"/>
    <w:link w:val="KopfzeileZchn"/>
    <w:uiPriority w:val="99"/>
    <w:unhideWhenUsed/>
    <w:rsid w:val="006E149A"/>
    <w:pPr>
      <w:tabs>
        <w:tab w:val="center" w:pos="4536"/>
        <w:tab w:val="right" w:pos="9072"/>
      </w:tabs>
    </w:pPr>
  </w:style>
  <w:style w:type="character" w:customStyle="1" w:styleId="KopfzeileZchn">
    <w:name w:val="Kopfzeile Zchn"/>
    <w:basedOn w:val="Absatz-Standardschriftart"/>
    <w:link w:val="Kopfzeile"/>
    <w:uiPriority w:val="99"/>
    <w:rsid w:val="006E149A"/>
    <w:rPr>
      <w:sz w:val="24"/>
      <w:szCs w:val="24"/>
    </w:rPr>
  </w:style>
  <w:style w:type="paragraph" w:styleId="Fuzeile">
    <w:name w:val="footer"/>
    <w:basedOn w:val="Standard"/>
    <w:link w:val="FuzeileZchn"/>
    <w:uiPriority w:val="99"/>
    <w:unhideWhenUsed/>
    <w:rsid w:val="006E149A"/>
    <w:pPr>
      <w:tabs>
        <w:tab w:val="center" w:pos="4536"/>
        <w:tab w:val="right" w:pos="9072"/>
      </w:tabs>
    </w:pPr>
  </w:style>
  <w:style w:type="character" w:customStyle="1" w:styleId="FuzeileZchn">
    <w:name w:val="Fußzeile Zchn"/>
    <w:basedOn w:val="Absatz-Standardschriftart"/>
    <w:link w:val="Fuzeile"/>
    <w:uiPriority w:val="99"/>
    <w:rsid w:val="006E149A"/>
    <w:rPr>
      <w:sz w:val="24"/>
      <w:szCs w:val="24"/>
    </w:rPr>
  </w:style>
  <w:style w:type="paragraph" w:styleId="Sprechblasentext">
    <w:name w:val="Balloon Text"/>
    <w:basedOn w:val="Standard"/>
    <w:link w:val="SprechblasentextZchn"/>
    <w:uiPriority w:val="99"/>
    <w:semiHidden/>
    <w:unhideWhenUsed/>
    <w:rsid w:val="003772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EBFF-1E65-4B86-82D2-78F88A0A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C9FAB42A.dotm</Template>
  <TotalTime>0</TotalTime>
  <Pages>1</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Richlinien des Zeckverbandes Evang</vt:lpstr>
    </vt:vector>
  </TitlesOfParts>
  <Company>Ev. Rentamt Dreieich</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Richlinien des Zeckverbandes Evang</dc:title>
  <dc:creator>M. Müller</dc:creator>
  <cp:lastModifiedBy>Schnell, Ralf</cp:lastModifiedBy>
  <cp:revision>5</cp:revision>
  <cp:lastPrinted>2019-10-24T08:55:00Z</cp:lastPrinted>
  <dcterms:created xsi:type="dcterms:W3CDTF">2019-09-25T09:36:00Z</dcterms:created>
  <dcterms:modified xsi:type="dcterms:W3CDTF">2019-12-12T12:59:00Z</dcterms:modified>
</cp:coreProperties>
</file>